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02" w:rsidRDefault="00F24902" w:rsidP="00F24902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страховые взносы, глава 34 Налогового Кодекса РФ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Расчет по страховым взносам представляют: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лица, производящие выплаты физическим лицам: организации, индивидуальные предприниматели, физлица, не являющиеся индивидуальными предпринимателями.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главы КФХ.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Срок представления расчетов по страховым взносам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30-го числа месяца, следующего за расчетным (отчетным) периодом (п. 7 ст. </w:t>
      </w:r>
      <w:hyperlink r:id="rId4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 (по работникам)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до 30 января календарного года, следующего за истекшим расчетным периодом. (</w:t>
      </w:r>
      <w:proofErr w:type="gramStart"/>
      <w:r>
        <w:rPr>
          <w:color w:val="000000"/>
        </w:rPr>
        <w:t>п.</w:t>
      </w:r>
      <w:proofErr w:type="gramEnd"/>
      <w:r>
        <w:rPr>
          <w:color w:val="000000"/>
        </w:rPr>
        <w:t>3 ст. </w:t>
      </w:r>
      <w:hyperlink r:id="rId5" w:anchor="h23044" w:tgtFrame="_blank" w:history="1">
        <w:r>
          <w:rPr>
            <w:rStyle w:val="a3"/>
            <w:color w:val="3072C4"/>
            <w:u w:val="none"/>
          </w:rPr>
          <w:t>432</w:t>
        </w:r>
      </w:hyperlink>
      <w:r>
        <w:rPr>
          <w:color w:val="000000"/>
        </w:rPr>
        <w:t> НК РФ) (главы КФХ за себя и за членов КФХ)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Тарифы по страховым взносам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Общеустановленные тарифы (ст. </w:t>
      </w:r>
      <w:hyperlink r:id="rId6" w:anchor="h23038" w:tgtFrame="_blank" w:history="1">
        <w:r>
          <w:rPr>
            <w:rStyle w:val="a3"/>
            <w:color w:val="3072C4"/>
            <w:u w:val="none"/>
          </w:rPr>
          <w:t>425</w:t>
        </w:r>
      </w:hyperlink>
      <w:r>
        <w:rPr>
          <w:color w:val="000000"/>
        </w:rPr>
        <w:t> НК РФ):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на обязательное пенсионное страхование: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пределах установленной предельной величины базы для исчисления страховых взносов - 22 процента;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свыше</w:t>
      </w:r>
      <w:proofErr w:type="gramEnd"/>
      <w:r>
        <w:rPr>
          <w:color w:val="000000"/>
        </w:rPr>
        <w:t xml:space="preserve"> установленной предельной величины базы для исчисления страховых взносов - 10 процентов;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- 2,9 процента;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гражданства, временно пребывающих в РФ (за исключением высококвалифицированных специалистов в соответствии с Федеральным законом </w:t>
      </w:r>
      <w:hyperlink r:id="rId7" w:tgtFrame="_blank" w:history="1">
        <w:r>
          <w:rPr>
            <w:rStyle w:val="a3"/>
            <w:color w:val="3072C4"/>
            <w:u w:val="none"/>
          </w:rPr>
          <w:t>от 25 июля 2002 года N 115-ФЗ</w:t>
        </w:r>
      </w:hyperlink>
      <w:r>
        <w:rPr>
          <w:color w:val="000000"/>
        </w:rPr>
        <w:t> "О правовом положении иностранных граждан в Российской Федерации"), в пределах установленной предельной величины базы по данному виду страхования - 1,8 процента;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на обязательное медицинское страхование - 5,1 процента.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Пониженные тарифы (ст. </w:t>
      </w:r>
      <w:hyperlink r:id="rId8" w:anchor="h23040" w:tgtFrame="_blank" w:history="1">
        <w:r>
          <w:rPr>
            <w:rStyle w:val="a3"/>
            <w:color w:val="3072C4"/>
            <w:u w:val="none"/>
          </w:rPr>
          <w:t>427</w:t>
        </w:r>
      </w:hyperlink>
      <w:r>
        <w:rPr>
          <w:color w:val="000000"/>
        </w:rPr>
        <w:t> НК РФ), дополнительные тарифы (ст. </w:t>
      </w:r>
      <w:hyperlink r:id="rId9" w:anchor="h23041" w:tgtFrame="_blank" w:history="1">
        <w:r>
          <w:rPr>
            <w:rStyle w:val="a3"/>
            <w:color w:val="3072C4"/>
            <w:u w:val="none"/>
          </w:rPr>
          <w:t>428</w:t>
        </w:r>
      </w:hyperlink>
      <w:r>
        <w:rPr>
          <w:color w:val="000000"/>
        </w:rPr>
        <w:t> НК РФ), тарифы на дополнительное социальное страхование обеспечение (ст. </w:t>
      </w:r>
      <w:hyperlink r:id="rId10" w:anchor="h23364" w:tgtFrame="_blank" w:history="1">
        <w:r>
          <w:rPr>
            <w:rStyle w:val="a3"/>
            <w:color w:val="3072C4"/>
            <w:u w:val="none"/>
          </w:rPr>
          <w:t>429</w:t>
        </w:r>
      </w:hyperlink>
      <w:r>
        <w:rPr>
          <w:color w:val="000000"/>
        </w:rPr>
        <w:t> НК РФ) предусмотрены в зависимости от категорий плательщиков.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Сроки уплаты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15-го числа следующего календарного месяца (п. 3 ст. </w:t>
      </w:r>
      <w:hyperlink r:id="rId11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 (за работников)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15-го числа следующего календарного месяца (п. 3 ст. </w:t>
      </w:r>
      <w:hyperlink r:id="rId12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 (за работников)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31 декабря текущего календарного года (п.2 ст. </w:t>
      </w:r>
      <w:hyperlink r:id="rId13" w:anchor="h23044" w:tgtFrame="_blank" w:history="1">
        <w:r>
          <w:rPr>
            <w:rStyle w:val="a3"/>
            <w:color w:val="3072C4"/>
            <w:u w:val="none"/>
          </w:rPr>
          <w:t>432</w:t>
        </w:r>
      </w:hyperlink>
      <w:r>
        <w:rPr>
          <w:color w:val="000000"/>
        </w:rPr>
        <w:t> НК РФ) (главы КФХ за себя и за членов КФХ)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В какую налоговую инспекцию нужно подавать расчет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 (</w:t>
      </w:r>
      <w:proofErr w:type="gramStart"/>
      <w:r>
        <w:rPr>
          <w:color w:val="000000"/>
        </w:rPr>
        <w:t>п.</w:t>
      </w:r>
      <w:proofErr w:type="gramEnd"/>
      <w:r>
        <w:rPr>
          <w:color w:val="000000"/>
        </w:rPr>
        <w:t xml:space="preserve"> 7 ст. </w:t>
      </w:r>
      <w:hyperlink r:id="rId14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Способы подачи расчета по страховым взносам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Расчет по страховым взносам в электронной форме по ТКС нужно сдавать, если численность физических лиц, которым за расчетный (отчетный) период начислены выплаты, превышает 10 человек. Этот же критерий применяется и к вновь созданным организациям (п. 10 ст. </w:t>
      </w:r>
      <w:hyperlink r:id="rId15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Если превышения данного показателя нет, то плательщики (в том числе вновь созданные организации) сами решают, как подавать расчет: в электронной форме или на бумажном носителе (п. 10 ст. </w:t>
      </w:r>
      <w:hyperlink r:id="rId16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Расчет считается непредставленным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В следующих случаях, если в расчете есть ошибки (п. 7 ст. </w:t>
      </w:r>
      <w:hyperlink r:id="rId17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в сумме выплат, начисленных в пользу физлиц;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базе для исчисления взносов на ОПС, не превышающей предельную величину;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сумме взносов на ОПС, исчисленных с такой базы;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базе для исчисления взносов на ОПС по дополнительному тарифу;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сумме взносов на ОПС по дополнительному тарифу;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сведения из подраздела 3.2 разд. 3 противоречат сведениям из другого раздела (приложения к разделу), то есть суммы показателей по всем физлицам не соответствуют этим же показателям по плательщику страховых взносов в целом;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в расчете указаны недостоверные персональные данные физлиц.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В любом из этих случаев инспекция направит уведомление о непредставлении расчета: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следующего рабочего дня после получения расчета в электронной форме;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10 рабочих дней, следующих за днем получения расчета на бумажном носителе.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Устраните ошибки и заново сдайте расчет. Срок подачи составляет (п. 6 ст. 6.1, п. 7 ст. </w:t>
      </w:r>
      <w:hyperlink r:id="rId18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пять рабочих дней с даты отправки уведомления в электронной форме;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10 рабочих дней с даты отправки уведомления на бумажном носителе.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Если успеете сдать расчет заново в указанный срок, он будет считаться поданным в день первоначального представления (п. 7 ст. </w:t>
      </w:r>
      <w:hyperlink r:id="rId19" w:anchor="h23042" w:tgtFrame="_blank" w:history="1">
        <w:r>
          <w:rPr>
            <w:rStyle w:val="a3"/>
            <w:color w:val="3072C4"/>
            <w:u w:val="none"/>
          </w:rPr>
          <w:t>431</w:t>
        </w:r>
      </w:hyperlink>
      <w:r>
        <w:rPr>
          <w:color w:val="000000"/>
        </w:rPr>
        <w:t> НК РФ).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Меры ответственности, предусмотренные за непредставление отчётности в установленный срок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штраф</w:t>
      </w:r>
      <w:proofErr w:type="gramEnd"/>
      <w:r>
        <w:rPr>
          <w:color w:val="000000"/>
        </w:rPr>
        <w:t xml:space="preserve"> по ст. </w:t>
      </w:r>
      <w:hyperlink r:id="rId20" w:anchor="h3483" w:tgtFrame="_blank" w:history="1">
        <w:r>
          <w:rPr>
            <w:rStyle w:val="a3"/>
            <w:color w:val="3072C4"/>
            <w:u w:val="none"/>
          </w:rPr>
          <w:t>119</w:t>
        </w:r>
      </w:hyperlink>
      <w:r>
        <w:rPr>
          <w:color w:val="000000"/>
        </w:rPr>
        <w:t> НК РФ, ст. </w:t>
      </w:r>
      <w:hyperlink r:id="rId21" w:anchor="h3056" w:tgtFrame="_blank" w:history="1">
        <w:r>
          <w:rPr>
            <w:rStyle w:val="a3"/>
            <w:color w:val="3072C4"/>
            <w:u w:val="none"/>
          </w:rPr>
          <w:t>15.5</w:t>
        </w:r>
      </w:hyperlink>
      <w:r>
        <w:rPr>
          <w:color w:val="000000"/>
        </w:rPr>
        <w:t> КоАП РФ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Мера ответственности, предусмотренная при неуплате или неполной уплате страховых взносов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штраф</w:t>
      </w:r>
      <w:proofErr w:type="gramEnd"/>
      <w:r>
        <w:rPr>
          <w:color w:val="000000"/>
        </w:rPr>
        <w:t xml:space="preserve"> в размере 20% от неуплаченной суммы страховых взносов (ст. </w:t>
      </w:r>
      <w:hyperlink r:id="rId22" w:anchor="h3490" w:tgtFrame="_blank" w:history="1">
        <w:r>
          <w:rPr>
            <w:rStyle w:val="a3"/>
            <w:color w:val="3072C4"/>
            <w:u w:val="none"/>
          </w:rPr>
          <w:t>122</w:t>
        </w:r>
      </w:hyperlink>
      <w:r>
        <w:rPr>
          <w:color w:val="000000"/>
        </w:rPr>
        <w:t> НК РФ).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Страховые взносы в фиксированном размере уплачивают: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Сроки уплаты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31 декабря текущего календарного года (п.2 ст. </w:t>
      </w:r>
      <w:hyperlink r:id="rId23" w:anchor="h23044" w:tgtFrame="_blank" w:history="1">
        <w:r>
          <w:rPr>
            <w:rStyle w:val="a3"/>
            <w:color w:val="3072C4"/>
            <w:u w:val="none"/>
          </w:rPr>
          <w:t>432</w:t>
        </w:r>
      </w:hyperlink>
      <w:r>
        <w:rPr>
          <w:color w:val="000000"/>
        </w:rPr>
        <w:t> НК РФ).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не позднее 1 июля года, следующего за истекшим расчетным периодом (п.2 ст. </w:t>
      </w:r>
      <w:hyperlink r:id="rId24" w:anchor="h23044" w:tgtFrame="_blank" w:history="1">
        <w:r>
          <w:rPr>
            <w:rStyle w:val="a3"/>
            <w:color w:val="3072C4"/>
            <w:u w:val="none"/>
          </w:rPr>
          <w:t>432</w:t>
        </w:r>
      </w:hyperlink>
      <w:r>
        <w:rPr>
          <w:color w:val="000000"/>
        </w:rPr>
        <w:t> НК РФ) (1% от суммы дохода, превышающей 300 000 рублей)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Фиксированные размеры страховых взносов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На обязательное пенсионное страхование (п.1 ст. </w:t>
      </w:r>
      <w:hyperlink r:id="rId25" w:anchor="h23365" w:tgtFrame="_blank" w:history="1">
        <w:r>
          <w:rPr>
            <w:rStyle w:val="a3"/>
            <w:color w:val="3072C4"/>
            <w:u w:val="none"/>
          </w:rPr>
          <w:t>430</w:t>
        </w:r>
      </w:hyperlink>
      <w:r>
        <w:rPr>
          <w:color w:val="000000"/>
        </w:rPr>
        <w:t> НК РФ):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2021 год – 32 448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2022 год – 34 445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2023 год – 36 723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На обязательное медицинское страхование (п.1 ст. </w:t>
      </w:r>
      <w:hyperlink r:id="rId26" w:anchor="h23365" w:tgtFrame="_blank" w:history="1">
        <w:r>
          <w:rPr>
            <w:rStyle w:val="a3"/>
            <w:color w:val="3072C4"/>
            <w:u w:val="none"/>
          </w:rPr>
          <w:t>430</w:t>
        </w:r>
      </w:hyperlink>
      <w:r>
        <w:rPr>
          <w:color w:val="000000"/>
        </w:rPr>
        <w:t> НК РФ):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2021 год – 8426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2022 год – 8766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2023 год – 9119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• На обязательное пенсионное страхование по ставке 1% от суммы дохода свыше 300 000 руб., но не более восьмикратного фиксированного размера (п.1 ст. </w:t>
      </w:r>
      <w:hyperlink r:id="rId27" w:anchor="h23365" w:tgtFrame="_blank" w:history="1">
        <w:r>
          <w:rPr>
            <w:rStyle w:val="a3"/>
            <w:color w:val="3072C4"/>
            <w:u w:val="none"/>
          </w:rPr>
          <w:t>430</w:t>
        </w:r>
      </w:hyperlink>
      <w:r>
        <w:rPr>
          <w:color w:val="000000"/>
        </w:rPr>
        <w:t> НК РФ):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2021 год – не более 259 584 руб.</w:t>
      </w:r>
    </w:p>
    <w:p w:rsidR="00046BB7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2022 год – не более 275 560 руб.</w:t>
      </w:r>
    </w:p>
    <w:p w:rsidR="00F24902" w:rsidRPr="00F24902" w:rsidRDefault="00046BB7" w:rsidP="00046BB7">
      <w:pPr>
        <w:pStyle w:val="dt-p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</w:rPr>
        <w:t>за 2023 год – не более 293 784 руб.</w:t>
      </w:r>
    </w:p>
    <w:p w:rsidR="00FF1215" w:rsidRDefault="00FF1215" w:rsidP="00046BB7">
      <w:pPr>
        <w:jc w:val="both"/>
      </w:pPr>
    </w:p>
    <w:sectPr w:rsidR="00FF1215" w:rsidSect="00046B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1"/>
    <w:rsid w:val="00046BB7"/>
    <w:rsid w:val="006B3561"/>
    <w:rsid w:val="00B130B2"/>
    <w:rsid w:val="00F24902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5FAA-5D5D-410C-938B-5CCD8390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4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0" TargetMode="External"/><Relationship Id="rId13" Type="http://schemas.openxmlformats.org/officeDocument/2006/relationships/hyperlink" Target="https://normativ.kontur.ru/document?moduleId=1&amp;documentId=400010" TargetMode="External"/><Relationship Id="rId18" Type="http://schemas.openxmlformats.org/officeDocument/2006/relationships/hyperlink" Target="https://normativ.kontur.ru/document?moduleId=1&amp;documentId=400010" TargetMode="External"/><Relationship Id="rId26" Type="http://schemas.openxmlformats.org/officeDocument/2006/relationships/hyperlink" Target="https://normativ.kontur.ru/document?moduleId=1&amp;documentId=4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00006" TargetMode="External"/><Relationship Id="rId7" Type="http://schemas.openxmlformats.org/officeDocument/2006/relationships/hyperlink" Target="https://normativ.kontur.ru/document?moduleId=1&amp;documentId=400903" TargetMode="External"/><Relationship Id="rId12" Type="http://schemas.openxmlformats.org/officeDocument/2006/relationships/hyperlink" Target="https://normativ.kontur.ru/document?moduleId=1&amp;documentId=400010" TargetMode="External"/><Relationship Id="rId17" Type="http://schemas.openxmlformats.org/officeDocument/2006/relationships/hyperlink" Target="https://normativ.kontur.ru/document?moduleId=1&amp;documentId=400010" TargetMode="External"/><Relationship Id="rId25" Type="http://schemas.openxmlformats.org/officeDocument/2006/relationships/hyperlink" Target="https://normativ.kontur.ru/document?moduleId=1&amp;documentId=4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0010" TargetMode="External"/><Relationship Id="rId20" Type="http://schemas.openxmlformats.org/officeDocument/2006/relationships/hyperlink" Target="https://normativ.kontur.ru/document?moduleId=1&amp;documentId=39767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0010" TargetMode="External"/><Relationship Id="rId11" Type="http://schemas.openxmlformats.org/officeDocument/2006/relationships/hyperlink" Target="https://normativ.kontur.ru/document?moduleId=1&amp;documentId=400010" TargetMode="External"/><Relationship Id="rId24" Type="http://schemas.openxmlformats.org/officeDocument/2006/relationships/hyperlink" Target="https://normativ.kontur.ru/document?moduleId=1&amp;documentId=400010" TargetMode="External"/><Relationship Id="rId5" Type="http://schemas.openxmlformats.org/officeDocument/2006/relationships/hyperlink" Target="https://normativ.kontur.ru/document?moduleId=1&amp;documentId=400010" TargetMode="External"/><Relationship Id="rId15" Type="http://schemas.openxmlformats.org/officeDocument/2006/relationships/hyperlink" Target="https://normativ.kontur.ru/document?moduleId=1&amp;documentId=400010" TargetMode="External"/><Relationship Id="rId23" Type="http://schemas.openxmlformats.org/officeDocument/2006/relationships/hyperlink" Target="https://normativ.kontur.ru/document?moduleId=1&amp;documentId=4000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00010" TargetMode="External"/><Relationship Id="rId19" Type="http://schemas.openxmlformats.org/officeDocument/2006/relationships/hyperlink" Target="https://normativ.kontur.ru/document?moduleId=1&amp;documentId=400010" TargetMode="External"/><Relationship Id="rId4" Type="http://schemas.openxmlformats.org/officeDocument/2006/relationships/hyperlink" Target="https://normativ.kontur.ru/document?moduleId=1&amp;documentId=400010" TargetMode="External"/><Relationship Id="rId9" Type="http://schemas.openxmlformats.org/officeDocument/2006/relationships/hyperlink" Target="https://normativ.kontur.ru/document?moduleId=1&amp;documentId=400010" TargetMode="External"/><Relationship Id="rId14" Type="http://schemas.openxmlformats.org/officeDocument/2006/relationships/hyperlink" Target="https://normativ.kontur.ru/document?moduleId=1&amp;documentId=400010" TargetMode="External"/><Relationship Id="rId22" Type="http://schemas.openxmlformats.org/officeDocument/2006/relationships/hyperlink" Target="https://normativ.kontur.ru/document?moduleId=1&amp;documentId=397672" TargetMode="External"/><Relationship Id="rId27" Type="http://schemas.openxmlformats.org/officeDocument/2006/relationships/hyperlink" Target="https://normativ.kontur.ru/document?moduleId=1&amp;documentId=4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2022-08-08T11:30:00Z</dcterms:created>
  <dcterms:modified xsi:type="dcterms:W3CDTF">2022-08-08T11:30:00Z</dcterms:modified>
</cp:coreProperties>
</file>